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ascii="方正黑体_GBK" w:hAnsi="黑体" w:cs="黑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eastAsia="zh-CN"/>
              </w:rPr>
              <w:t>亚克力浇筑板材一条龙生产技术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委托研发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科技金融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质量体系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市场前景分析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 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技术购买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共建中试、熟化基地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其他</w:t>
            </w:r>
            <w:r>
              <w:rPr>
                <w:rFonts w:ascii="仿宋_GB2312" w:hAnsi="仿宋_GB2312" w:cs="等线"/>
                <w:color w:val="auto"/>
                <w:kern w:val="0"/>
                <w:sz w:val="22"/>
                <w:szCs w:val="22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color w:val="000000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生物与新医药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sym w:font="Wingdings 2" w:char="0052"/>
            </w:r>
            <w:r>
              <w:rPr>
                <w:rFonts w:ascii="等线" w:hAnsi="等线"/>
                <w:color w:val="000000"/>
              </w:rPr>
              <w:t> 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先进制造与自动化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现代农业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航空航天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ascii="等线" w:hAnsi="等线" w:cs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新能源与节能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资源与环境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高技术服务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建筑业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新材料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仿宋_GB2312" w:hAnsi="仿宋_GB2312"/>
                <w:color w:val="000000"/>
              </w:rPr>
              <w:t>□</w:t>
            </w:r>
            <w:r>
              <w:fldChar w:fldCharType="begin"/>
            </w:r>
            <w:r>
              <w:instrText xml:space="preserve"> HYPERLINK \l "/javascript:void(0)" </w:instrText>
            </w:r>
            <w: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t>电子信息</w:t>
            </w:r>
            <w:r>
              <w:rPr>
                <w:rStyle w:val="5"/>
                <w:rFonts w:hint="eastAsia" w:ascii="Calibri" w:hAnsi="Calibri" w:eastAsia="宋体"/>
                <w:color w:val="000000"/>
                <w:sz w:val="22"/>
                <w:szCs w:val="22"/>
              </w:rPr>
              <w:fldChar w:fldCharType="end"/>
            </w:r>
            <w:r>
              <w:rPr>
                <w:color w:val="000000"/>
              </w:rPr>
              <w:t> </w:t>
            </w:r>
            <w:r>
              <w:rPr>
                <w:rFonts w:ascii="仿宋_GB2312" w:hAnsi="仿宋_GB2312"/>
                <w:color w:val="000000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公司主要生产和销售亚克力板材。亚克力板材具有高度透明度，原料价格低，易于机械加工等优点，广泛用于建筑、交通、生活洁具、广告、照明、工艺品、医疗器材等多个领域，在时尚流行精品领域也有越来越多的应用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eastAsia="zh-CN"/>
              </w:rPr>
              <w:t>亚克力边角余料的裂解、精馏等工艺技术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val="en-US" w:eastAsia="zh-CN"/>
              </w:rPr>
              <w:t>如何提高裂解的出油率。</w:t>
            </w:r>
          </w:p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val="en-US" w:eastAsia="zh-CN"/>
              </w:rPr>
              <w:t>提高精馏的出油率和纯度。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eastAsia="zh-CN"/>
              </w:rPr>
              <w:t>麻城市中优顺建材科技有限公司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val="en-US" w:eastAsia="zh-CN"/>
              </w:rPr>
              <w:t>麻城市宋埠镇鄢河村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国有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集体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私营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eastAsia="zh-CN"/>
              </w:rPr>
              <w:t>吴相廉</w:t>
            </w:r>
            <w:r>
              <w:rPr>
                <w:rFonts w:hint="eastAsia" w:ascii="方正仿宋_GBK" w:hAnsi="仿宋" w:eastAsia="方正仿宋_GBK" w:cs="宋体"/>
                <w:color w:val="auto"/>
                <w:sz w:val="21"/>
                <w:szCs w:val="21"/>
                <w:lang w:val="en-US" w:eastAsia="zh-CN"/>
              </w:rPr>
              <w:t xml:space="preserve"> （生产技术经理）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仿宋_GBK" w:hAnsi="仿宋" w:eastAsia="方正仿宋_GBK" w:cs="宋体"/>
                <w:color w:val="auto"/>
                <w:sz w:val="24"/>
                <w:szCs w:val="24"/>
                <w:lang w:val="en-US" w:eastAsia="zh-CN"/>
              </w:rPr>
              <w:t>15623666677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4"/>
                <w:lang w:eastAsia="zh-CN"/>
              </w:rPr>
              <w:t>麻城市中优顺建材科技有限公司于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4"/>
                <w:lang w:val="en-US" w:eastAsia="zh-CN"/>
              </w:rPr>
              <w:t>2014年5月注册成立，注册资金1000万元，公司位于麻城市宋埠镇滨河大道工业园区，厂区占地面积12500平方米，建筑面积6200平方米，公司是政府2014年的重点招商引资企业。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迫切解决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核心难题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非重要项目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07982"/>
    <w:multiLevelType w:val="multilevel"/>
    <w:tmpl w:val="20E0798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52CB"/>
    <w:rsid w:val="2719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2021-10-08T02:37:00Z</dcterms:created>
  <dc:creator>吴思维</dc:creator>
  <cp:lastModifiedBy>吴思维</cp:lastModifiedBy>
  <dcterms:modified xsi:type="dcterms:W3CDTF">2021-10-08T02:38:11Z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6EEA212C8EFC4B599307344C3D7552AF</vt:lpwstr>
  </property>
</Properties>
</file>